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3106_2586841380"/>
      <w:r>
        <w:rPr>
          <w:rFonts w:cs="Times New Roman" w:ascii="Times New Roman" w:hAnsi="Times New Roman"/>
          <w:b/>
          <w:sz w:val="28"/>
          <w:szCs w:val="28"/>
        </w:rPr>
        <w:t>Информация об организации  работы  с детьми с ОВЗ в общеобразовательных организациях Назрановского района.</w:t>
      </w:r>
      <w:bookmarkStart w:id="1" w:name="_GoBack"/>
      <w:bookmarkEnd w:id="0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общеобразовательных учреждениях Назрановского района в 2020-2021учебном году обучалось детей с ограниченными возможностями здоровья и инвалидностью 593, из которых двое детей получают образование с применением дистанционных образовательных технологий. Численность обучающихся на дому по основным  общеобразовательным программам ( в том числе адаптированным) НОО и образования обучающихся с умственной отсталостью (интеллектуальными нарушениями) -252 и по адаптированным основным общеобразовательным программам основного общего образования, среднего образования (АООП ООО(5-9кл.) и АООП СОО  (10-11классы))-341.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них численность обучающихся: слабослышащих и позднооглохших – 13, слабовидящих -121, с задержкой психического  развития – 57,  с расстройствами ауистического спектра – 22, с нарушением опорно-двигательного аппарата-205, с умственной отсталостью-175.Инклюзивное образование детей с ОВЗ совместно с другими детьми осуществлялось во всех школах района. Педагоги, работающие с детьми данной категории,  имеют курсовую подготовку по организации обучения детей с ОВЗ.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34 общеобразовательных учреждениях района работают психологи, в 26  имеются социальные педагоги,  в 10  ОО -логопеды.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10 общеобразовательных организациях создана  безбарьерная среда: ГБОУ « СОШ№1с.п. Экажево», ГБОУ « СОШ№3с.п. Экажево», ГБОУ « СОШ№1с.п.Сурхахи»,  ГБОУ « СОШ№3с.п. Сурхахи» ГБОУ « СОШ-ДС№1с.п.Кантышево», ГБОУ « СОШ№3с.п. Кантышево» ГБОУ « СОШс.п. Долаково» ГБОУ « СОШ-детский сад №2с.п. Долаково», ГБОУ « СОШ№2с.п. Плиево», ГБОУ « Гимназия Назрановского района».  Здесь перестроены туалетные комнаты, пороги , входная дверь, установлены настенные  поручни по всему периметру внутри здания, тактильные таблички, установлено акустическое устройство для вызова на входе в здание, установлены таблички на стоянках возле двора школы и во дворе. Все виды работ выполнены в соответствии со стандартами ГОСТ.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 школах имеется оборудование для организации инклюзивного образования детей-инвалидов: учебно-тренировочный комплекс огневой подготовки для инвалидов по зрению и обучающихся с ОВЗ, интерактивный электрифицированный стенд с сенсорным пультом управления и планшетом со шрифтом Бройля « Хронология мировых военных событий 20-21 веков», интерактивный адаптивный стенд « Говорящая азбука» с сенсорным пультом управления и планшетом со шрифтом Бройля, учебно- развивающий комплект « Физическая культура», комплект оборудования « Живой уголок» с тифлопереводом и сурдокомментариями и аппаратно-программный обучающий комплекс по правилам противопожарной безопасности.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На базе Центра непрерывного образования для детей с ОВЗ    работает территориальная психолого-медико-педагогическая комиссия,  которая проводит комплексное психолого-медико-педагогическое обследование  детей в целях своевременного выявления особенностей в физическом и (или) психическом развитии и (или) отклонений в поведении детей, подготовку по результатам  обследования детей рекомендаций  по оказанию им психолого-медико-педагогической помощи и организации их обучения и воспитания, а также подтверждение, уточнение или изменение раннее данных рекомендаций.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дорожной картой по направлению « Развитие системы профориентационной работы в образовательных организациях Республики Ингушетия на 2020-2022годы»(утверждена приказом Министерства образования и науки Республики Ингушетия от 14.05.2020г. № 269—п-а) во всех общеобразовательных учреждениях района проводятся профориентационные мероприятия с обучающимися ОВЗ и  информационно-просветительские мероприятия для родителей детей с ОВЗ по вопросам ранней профориентации, профессионального обучения на базе образовательной организации, а также психологами школ проводятся психологическое профориентационное консультирование детей с ОВЗ.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количестве выпускников 9,11 классов с ОВЗ и детей –инвалидов в общеобразовательных организациях Назрановского района, охваченных профориентационными мероприятиями ( прил.1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http://upravobr.ru/wp-content/uploads/2021/09/Информация0Aо-количестве-выпускников-9-11-классов-с-ОВЗ-и-детей-инвалидов-общеобразовательных-организаций-Назр.р-на.doc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</w:rPr>
          <w:t xml:space="preserve"> ) и проведенных мероприятий по профессиональной ориентации обучающихся с ОВЗ (прил.2 </w:t>
        </w:r>
      </w:hyperlink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http://upravobr.ru/wp-content/uploads/2021/09/Мониторинг-показателей-системы-самоопределения-и-профессиональной-ориентации-обучающихся-Назрановского-района-РИ.doc</w:t>
        </w:r>
      </w:hyperlink>
      <w:hyperlink r:id="rId5">
        <w:r>
          <w:rPr>
            <w:rFonts w:cs="Times New Roman" w:ascii="Times New Roman" w:hAnsi="Times New Roman"/>
            <w:sz w:val="28"/>
            <w:szCs w:val="28"/>
          </w:rPr>
          <w:t xml:space="preserve"> ). ГБОУ « СОШ-детский сад №2с.п. Долаково» подана заявка на участие регионального этапа 8 Всероссийского конкурса « Лучшая инклюзивная школа России-2021» по программе « Инклюзивная среда в образовательной организации», « Обучение и социализации детей с ОВЗ в инклюзивном образовательном пространстве».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pravobr.ru/wp-content/uploads/2021/09/&#1048;&#1085;&#1092;&#1086;&#1088;&#1084;&#1072;&#1094;&#1080;&#1103;0A&#1086;-&#1082;&#1086;&#1083;&#1080;&#1095;&#1077;&#1089;&#1090;&#1074;&#1077;-&#1074;&#1099;&#1087;&#1091;&#1089;&#1082;&#1085;&#1080;&#1082;&#1086;&#1074;-9-11-&#1082;&#1083;&#1072;&#1089;&#1089;&#1086;&#1074;-&#1089;-&#1054;&#1042;&#1047;-&#1080;-&#1076;&#1077;&#1090;&#1077;&#1081;-&#1080;&#1085;&#1074;&#1072;&#1083;&#1080;&#1076;&#1086;&#1074;-&#1086;&#1073;&#1097;&#1077;&#1086;&#1073;&#1088;&#1072;&#1079;&#1086;&#1074;&#1072;&#1090;&#1077;&#1083;&#1100;&#1085;&#1099;&#1093;-&#1086;&#1088;&#1075;&#1072;&#1085;&#1080;&#1079;&#1072;&#1094;&#1080;&#1081;-&#1053;&#1072;&#1079;&#1088;.&#1088;-&#1085;&#1072;.doc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upravobr.ru/wp-content/uploads/2021/09/&#1052;&#1086;&#1085;&#1080;&#1090;&#1086;&#1088;&#1080;&#1085;&#1075;-&#1087;&#1086;&#1082;&#1072;&#1079;&#1072;&#1090;&#1077;&#1083;&#1077;&#1081;-&#1089;&#1080;&#1089;&#1090;&#1077;&#1084;&#1099;-&#1089;&#1072;&#1084;&#1086;&#1086;&#1087;&#1088;&#1077;&#1076;&#1077;&#1083;&#1077;&#1085;&#1080;&#1103;-&#1080;-&#1087;&#1088;&#1086;&#1092;&#1077;&#1089;&#1089;&#1080;&#1086;&#1085;&#1072;&#1083;&#1100;&#1085;&#1086;&#1081;-&#1086;&#1088;&#1080;&#1077;&#1085;&#1090;&#1072;&#1094;&#1080;&#1080;-&#1086;&#1073;&#1091;&#1095;&#1072;&#1102;&#1097;&#1080;&#1093;&#1089;&#1103;-&#1053;&#1072;&#1079;&#1088;&#1072;&#1085;&#1086;&#1074;&#1089;&#1082;&#1086;&#1075;&#1086;-&#1088;&#1072;&#1081;&#1086;&#1085;&#1072;-&#1056;&#1048;.doc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LibreOffice/6.3.6.2$Linux_X86_64 LibreOffice_project/30$Build-2</Application>
  <Pages>2</Pages>
  <Words>532</Words>
  <Characters>4226</Characters>
  <CharactersWithSpaces>4796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2021-09-10T14:16:00Z</dcterms:created>
  <dc:creator>Zareta Tochieva</dc:creator>
  <dc:description/>
  <dc:language>ru-RU</dc:language>
  <cp:lastModifiedBy/>
  <cp:lastPrinted>2021-09-22T08:56:00Z</cp:lastPrinted>
  <dcterms:modified xsi:type="dcterms:W3CDTF">2021-09-22T12:30:12Z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